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67" w:rsidRPr="00E5779B" w:rsidRDefault="00064B89"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B6867" w:rsidRPr="00E5779B" w:rsidRDefault="00064B89"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B6867" w:rsidRPr="003661E0" w:rsidRDefault="00064B89"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BB6867" w:rsidRPr="000034DD" w:rsidRDefault="00BB6867" w:rsidP="00BB6867">
      <w:pPr>
        <w:spacing w:after="0" w:line="240" w:lineRule="auto"/>
        <w:ind w:firstLine="567"/>
        <w:jc w:val="both"/>
        <w:rPr>
          <w:rFonts w:ascii="Arial" w:eastAsia="Times New Roman" w:hAnsi="Arial" w:cs="Arial"/>
          <w:sz w:val="20"/>
          <w:szCs w:val="20"/>
          <w:lang w:eastAsia="ru-RU"/>
        </w:rPr>
      </w:pPr>
    </w:p>
    <w:p w:rsidR="00BB6867" w:rsidRPr="00D12A46" w:rsidRDefault="00064B89" w:rsidP="00BB686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00AB72C6">
        <w:rPr>
          <w:rFonts w:ascii="Arial" w:eastAsia="Times New Roman" w:hAnsi="Arial" w:cs="Arial"/>
          <w:sz w:val="20"/>
          <w:szCs w:val="20"/>
          <w:lang w:eastAsia="ru-RU"/>
        </w:rPr>
        <w:t xml:space="preserve">ООО </w:t>
      </w:r>
      <w:r>
        <w:rPr>
          <w:rFonts w:ascii="Arial" w:eastAsia="Times New Roman" w:hAnsi="Arial" w:cs="Arial"/>
          <w:sz w:val="20"/>
          <w:szCs w:val="20"/>
          <w:lang w:eastAsia="ru-RU"/>
        </w:rPr>
        <w:t>УК «</w:t>
      </w:r>
      <w:proofErr w:type="spellStart"/>
      <w:r w:rsidR="00B0025C">
        <w:rPr>
          <w:rFonts w:ascii="Arial" w:eastAsia="Times New Roman" w:hAnsi="Arial" w:cs="Arial"/>
          <w:sz w:val="20"/>
          <w:szCs w:val="20"/>
          <w:lang w:eastAsia="ru-RU"/>
        </w:rPr>
        <w:t>Алма</w:t>
      </w:r>
      <w:proofErr w:type="spellEnd"/>
      <w:r>
        <w:rPr>
          <w:rFonts w:ascii="Arial" w:eastAsia="Times New Roman" w:hAnsi="Arial" w:cs="Arial"/>
          <w:sz w:val="20"/>
          <w:szCs w:val="20"/>
          <w:lang w:eastAsia="ru-RU"/>
        </w:rPr>
        <w:t>»</w:t>
      </w:r>
      <w:r w:rsidR="002031DF">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 xml:space="preserve">в связи с принятием </w:t>
      </w:r>
      <w:bookmarkStart w:id="0" w:name="_GoBack"/>
      <w:bookmarkEnd w:id="0"/>
      <w:r w:rsidRPr="000034DD">
        <w:rPr>
          <w:rFonts w:ascii="Arial" w:eastAsia="Times New Roman" w:hAnsi="Arial" w:cs="Arial"/>
          <w:sz w:val="20"/>
          <w:szCs w:val="20"/>
          <w:lang w:eastAsia="ru-RU"/>
        </w:rPr>
        <w:t>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w:t>
      </w:r>
      <w:r w:rsidR="00B0025C">
        <w:rPr>
          <w:rFonts w:ascii="Arial" w:eastAsia="Times New Roman" w:hAnsi="Arial" w:cs="Arial"/>
          <w:b/>
          <w:sz w:val="20"/>
          <w:szCs w:val="20"/>
          <w:lang w:eastAsia="ru-RU"/>
        </w:rPr>
        <w:t>59</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w:t>
      </w:r>
      <w:r w:rsidR="00B0025C">
        <w:rPr>
          <w:rFonts w:ascii="Arial" w:eastAsia="Times New Roman" w:hAnsi="Arial" w:cs="Arial"/>
          <w:b/>
          <w:sz w:val="20"/>
          <w:szCs w:val="20"/>
          <w:lang w:eastAsia="ru-RU"/>
        </w:rPr>
        <w:t>Василия</w:t>
      </w:r>
      <w:r>
        <w:rPr>
          <w:rFonts w:ascii="Arial" w:eastAsia="Times New Roman" w:hAnsi="Arial" w:cs="Arial"/>
          <w:b/>
          <w:sz w:val="20"/>
          <w:szCs w:val="20"/>
          <w:lang w:eastAsia="ru-RU"/>
        </w:rPr>
        <w:t xml:space="preserve"> </w:t>
      </w:r>
      <w:r w:rsidR="00B0025C">
        <w:rPr>
          <w:rFonts w:ascii="Arial" w:eastAsia="Times New Roman" w:hAnsi="Arial" w:cs="Arial"/>
          <w:b/>
          <w:sz w:val="20"/>
          <w:szCs w:val="20"/>
          <w:lang w:eastAsia="ru-RU"/>
        </w:rPr>
        <w:t>Севергина</w:t>
      </w:r>
      <w:r>
        <w:rPr>
          <w:rFonts w:ascii="Arial" w:eastAsia="Times New Roman" w:hAnsi="Arial" w:cs="Arial"/>
          <w:b/>
          <w:sz w:val="20"/>
          <w:szCs w:val="20"/>
          <w:lang w:eastAsia="ru-RU"/>
        </w:rPr>
        <w:t xml:space="preserve">, дом </w:t>
      </w:r>
      <w:r w:rsidR="002031DF">
        <w:rPr>
          <w:rFonts w:ascii="Arial" w:eastAsia="Times New Roman" w:hAnsi="Arial" w:cs="Arial"/>
          <w:b/>
          <w:sz w:val="20"/>
          <w:szCs w:val="20"/>
          <w:lang w:eastAsia="ru-RU"/>
        </w:rPr>
        <w:t xml:space="preserve">№ </w:t>
      </w:r>
      <w:r>
        <w:rPr>
          <w:rFonts w:ascii="Arial" w:eastAsia="Times New Roman" w:hAnsi="Arial" w:cs="Arial"/>
          <w:b/>
          <w:sz w:val="20"/>
          <w:szCs w:val="20"/>
          <w:lang w:eastAsia="ru-RU"/>
        </w:rPr>
        <w:t>2</w:t>
      </w:r>
      <w:r w:rsidR="002031DF">
        <w:rPr>
          <w:rFonts w:ascii="Arial" w:eastAsia="Times New Roman" w:hAnsi="Arial" w:cs="Arial"/>
          <w:b/>
          <w:sz w:val="20"/>
          <w:szCs w:val="20"/>
          <w:lang w:eastAsia="ru-RU"/>
        </w:rPr>
        <w:t>,</w:t>
      </w:r>
      <w:r w:rsidR="00D00EF6">
        <w:rPr>
          <w:rFonts w:ascii="Arial" w:eastAsia="Times New Roman" w:hAnsi="Arial" w:cs="Arial"/>
          <w:b/>
          <w:sz w:val="20"/>
          <w:szCs w:val="20"/>
          <w:lang w:eastAsia="ru-RU"/>
        </w:rPr>
        <w:t xml:space="preserve"> корпус </w:t>
      </w:r>
      <w:r w:rsidR="002031DF">
        <w:rPr>
          <w:rFonts w:ascii="Arial" w:eastAsia="Times New Roman" w:hAnsi="Arial" w:cs="Arial"/>
          <w:b/>
          <w:sz w:val="20"/>
          <w:szCs w:val="20"/>
          <w:lang w:eastAsia="ru-RU"/>
        </w:rPr>
        <w:t xml:space="preserve">№ </w:t>
      </w:r>
      <w:r w:rsidR="00D00EF6">
        <w:rPr>
          <w:rFonts w:ascii="Arial" w:eastAsia="Times New Roman" w:hAnsi="Arial" w:cs="Arial"/>
          <w:b/>
          <w:sz w:val="20"/>
          <w:szCs w:val="20"/>
          <w:lang w:eastAsia="ru-RU"/>
        </w:rPr>
        <w:t>3</w:t>
      </w:r>
      <w:r w:rsidR="002031DF">
        <w:rPr>
          <w:rFonts w:ascii="Arial" w:eastAsia="Times New Roman" w:hAnsi="Arial" w:cs="Arial"/>
          <w:b/>
          <w:sz w:val="20"/>
          <w:szCs w:val="20"/>
          <w:lang w:eastAsia="ru-RU"/>
        </w:rPr>
        <w:t xml:space="preserve"> </w:t>
      </w:r>
      <w:r w:rsidR="002031DF" w:rsidRPr="00714C66">
        <w:rPr>
          <w:rFonts w:ascii="Arial" w:eastAsia="Times New Roman" w:hAnsi="Arial" w:cs="Arial"/>
          <w:sz w:val="20"/>
          <w:szCs w:val="20"/>
          <w:lang w:eastAsia="ru-RU"/>
        </w:rPr>
        <w:t>–</w:t>
      </w:r>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r w:rsidR="002031DF">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064B89"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B6867" w:rsidRPr="000034DD" w:rsidRDefault="00064B89"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B6867" w:rsidRPr="000034DD" w:rsidRDefault="00BB6867" w:rsidP="00BB686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B6867" w:rsidRPr="000034DD" w:rsidRDefault="00064B89" w:rsidP="00BB686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понедельник – пятница с 9:00 до 19:00; суббота с 9:00 до 15:00, перерыв с 12:00 до 13:00; воскресенье – выходной день</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B6867" w:rsidRPr="00714C66"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B6867" w:rsidRDefault="00064B89"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p>
    <w:p w:rsidR="00BB6867" w:rsidRPr="000034DD" w:rsidRDefault="00064B89" w:rsidP="00BB686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7"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B6867" w:rsidRPr="000034DD" w:rsidRDefault="00BB6867" w:rsidP="00BB6867">
      <w:pPr>
        <w:spacing w:after="0" w:line="276" w:lineRule="auto"/>
        <w:ind w:firstLine="567"/>
        <w:jc w:val="both"/>
        <w:rPr>
          <w:rFonts w:ascii="Arial" w:hAnsi="Arial" w:cs="Arial"/>
          <w:sz w:val="20"/>
          <w:szCs w:val="20"/>
        </w:rPr>
      </w:pPr>
    </w:p>
    <w:p w:rsidR="00BB6867" w:rsidRPr="000034DD" w:rsidRDefault="00064B89" w:rsidP="00BB686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B6867" w:rsidRPr="000034DD" w:rsidRDefault="00064B89"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B6867" w:rsidRPr="000034DD" w:rsidRDefault="00064B89"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8"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p>
    <w:p w:rsidR="00BB6867" w:rsidRPr="000034DD" w:rsidRDefault="00064B89"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064B89"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064B89"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9"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D12A46" w:rsidRDefault="00064B89" w:rsidP="00BB6867">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B6867" w:rsidRPr="00D12A46" w:rsidRDefault="00064B89"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B6867" w:rsidRPr="00D12A46" w:rsidRDefault="00064B89"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B6867" w:rsidRPr="00D12A46" w:rsidRDefault="00064B89"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B6867" w:rsidRPr="00D12A46" w:rsidRDefault="00064B89"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91D58" w:rsidRDefault="00391D58"/>
    <w:sectPr w:rsidR="00391D58">
      <w:footerReference w:type="even" r:id="rId10"/>
      <w:footerReference w:type="default" r:id="rId11"/>
      <w:footerReference w:type="first" r:id="rId12"/>
      <w:pgSz w:w="11906" w:h="16838"/>
      <w:pgMar w:top="1134" w:right="850"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ED7" w:rsidRDefault="009A3ED7">
      <w:pPr>
        <w:spacing w:after="0" w:line="240" w:lineRule="auto"/>
      </w:pPr>
      <w:r>
        <w:separator/>
      </w:r>
    </w:p>
  </w:endnote>
  <w:endnote w:type="continuationSeparator" w:id="0">
    <w:p w:rsidR="009A3ED7" w:rsidRDefault="009A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6C" w:rsidRDefault="009A3ED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2802" style="position:absolute;margin-left:0;margin-top:0;width:343pt;height:14pt;z-index:251658240;mso-position-horizontal:left" fillcolor="#919191" strokecolor="#919191">
          <v:textpath style="font-family:&quot;Microsoft Sans Serif&quot;;font-size:14pt;v-text-align:left" string="Рег. номер WSSDOCS: ЭСЗ-В-ТМН-2025-55506,  ID:548"/>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6C" w:rsidRDefault="00712E6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6C" w:rsidRDefault="009A3ED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ТМН-2025-55506,  ID:548"/>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ED7" w:rsidRDefault="009A3ED7">
      <w:pPr>
        <w:spacing w:after="0" w:line="240" w:lineRule="auto"/>
      </w:pPr>
      <w:r>
        <w:separator/>
      </w:r>
    </w:p>
  </w:footnote>
  <w:footnote w:type="continuationSeparator" w:id="0">
    <w:p w:rsidR="009A3ED7" w:rsidRDefault="009A3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726E5FC6">
      <w:start w:val="1"/>
      <w:numFmt w:val="bullet"/>
      <w:lvlText w:val=""/>
      <w:lvlJc w:val="left"/>
      <w:pPr>
        <w:ind w:left="720" w:hanging="360"/>
      </w:pPr>
      <w:rPr>
        <w:rFonts w:ascii="Symbol" w:hAnsi="Symbol" w:hint="default"/>
      </w:rPr>
    </w:lvl>
    <w:lvl w:ilvl="1" w:tplc="B5286778" w:tentative="1">
      <w:start w:val="1"/>
      <w:numFmt w:val="bullet"/>
      <w:lvlText w:val="o"/>
      <w:lvlJc w:val="left"/>
      <w:pPr>
        <w:ind w:left="1440" w:hanging="360"/>
      </w:pPr>
      <w:rPr>
        <w:rFonts w:ascii="Courier New" w:hAnsi="Courier New" w:cs="Courier New" w:hint="default"/>
      </w:rPr>
    </w:lvl>
    <w:lvl w:ilvl="2" w:tplc="FC20097E" w:tentative="1">
      <w:start w:val="1"/>
      <w:numFmt w:val="bullet"/>
      <w:lvlText w:val=""/>
      <w:lvlJc w:val="left"/>
      <w:pPr>
        <w:ind w:left="2160" w:hanging="360"/>
      </w:pPr>
      <w:rPr>
        <w:rFonts w:ascii="Wingdings" w:hAnsi="Wingdings" w:hint="default"/>
      </w:rPr>
    </w:lvl>
    <w:lvl w:ilvl="3" w:tplc="86C0E95E" w:tentative="1">
      <w:start w:val="1"/>
      <w:numFmt w:val="bullet"/>
      <w:lvlText w:val=""/>
      <w:lvlJc w:val="left"/>
      <w:pPr>
        <w:ind w:left="2880" w:hanging="360"/>
      </w:pPr>
      <w:rPr>
        <w:rFonts w:ascii="Symbol" w:hAnsi="Symbol" w:hint="default"/>
      </w:rPr>
    </w:lvl>
    <w:lvl w:ilvl="4" w:tplc="58BEF908" w:tentative="1">
      <w:start w:val="1"/>
      <w:numFmt w:val="bullet"/>
      <w:lvlText w:val="o"/>
      <w:lvlJc w:val="left"/>
      <w:pPr>
        <w:ind w:left="3600" w:hanging="360"/>
      </w:pPr>
      <w:rPr>
        <w:rFonts w:ascii="Courier New" w:hAnsi="Courier New" w:cs="Courier New" w:hint="default"/>
      </w:rPr>
    </w:lvl>
    <w:lvl w:ilvl="5" w:tplc="6512E58E" w:tentative="1">
      <w:start w:val="1"/>
      <w:numFmt w:val="bullet"/>
      <w:lvlText w:val=""/>
      <w:lvlJc w:val="left"/>
      <w:pPr>
        <w:ind w:left="4320" w:hanging="360"/>
      </w:pPr>
      <w:rPr>
        <w:rFonts w:ascii="Wingdings" w:hAnsi="Wingdings" w:hint="default"/>
      </w:rPr>
    </w:lvl>
    <w:lvl w:ilvl="6" w:tplc="105AA2F6" w:tentative="1">
      <w:start w:val="1"/>
      <w:numFmt w:val="bullet"/>
      <w:lvlText w:val=""/>
      <w:lvlJc w:val="left"/>
      <w:pPr>
        <w:ind w:left="5040" w:hanging="360"/>
      </w:pPr>
      <w:rPr>
        <w:rFonts w:ascii="Symbol" w:hAnsi="Symbol" w:hint="default"/>
      </w:rPr>
    </w:lvl>
    <w:lvl w:ilvl="7" w:tplc="54D6E7D4" w:tentative="1">
      <w:start w:val="1"/>
      <w:numFmt w:val="bullet"/>
      <w:lvlText w:val="o"/>
      <w:lvlJc w:val="left"/>
      <w:pPr>
        <w:ind w:left="5760" w:hanging="360"/>
      </w:pPr>
      <w:rPr>
        <w:rFonts w:ascii="Courier New" w:hAnsi="Courier New" w:cs="Courier New" w:hint="default"/>
      </w:rPr>
    </w:lvl>
    <w:lvl w:ilvl="8" w:tplc="30164CE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67"/>
    <w:rsid w:val="000034DD"/>
    <w:rsid w:val="00064B89"/>
    <w:rsid w:val="00132A32"/>
    <w:rsid w:val="001B5713"/>
    <w:rsid w:val="002031DF"/>
    <w:rsid w:val="003661E0"/>
    <w:rsid w:val="00391D58"/>
    <w:rsid w:val="006926DD"/>
    <w:rsid w:val="00712E6C"/>
    <w:rsid w:val="00714C66"/>
    <w:rsid w:val="009A3ED7"/>
    <w:rsid w:val="00AB72C6"/>
    <w:rsid w:val="00B0025C"/>
    <w:rsid w:val="00B075B1"/>
    <w:rsid w:val="00BB6867"/>
    <w:rsid w:val="00D00EF6"/>
    <w:rsid w:val="00D12A46"/>
    <w:rsid w:val="00DA09E0"/>
    <w:rsid w:val="00E5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049A972"/>
  <w15:chartTrackingRefBased/>
  <w15:docId w15:val="{4C883BA0-3EE3-4E26-A14E-5EC4A12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6867"/>
    <w:rPr>
      <w:color w:val="0000FF"/>
      <w:u w:val="single"/>
    </w:rPr>
  </w:style>
  <w:style w:type="paragraph" w:styleId="a5">
    <w:name w:val="List Paragraph"/>
    <w:basedOn w:val="a"/>
    <w:uiPriority w:val="34"/>
    <w:qFormat/>
    <w:rsid w:val="00BB6867"/>
    <w:pPr>
      <w:ind w:left="720"/>
      <w:contextualSpacing/>
    </w:pPr>
  </w:style>
  <w:style w:type="paragraph" w:styleId="a6">
    <w:name w:val="header"/>
    <w:basedOn w:val="a"/>
    <w:link w:val="a7"/>
    <w:uiPriority w:val="99"/>
    <w:unhideWhenUsed/>
    <w:rsid w:val="002031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0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umen.vostok-electra.ru/clients/physical-persons/payment-metho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umen.vostok-electra.ru/clients/physical-persons/service-offic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yumen.vostok-electra.ru/clients/physical-persons/the-modes-of-transmission-of-meter-readings-of-the-electric-pow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Юлия Сергеевна</dc:creator>
  <cp:lastModifiedBy>Базаров Константин Валерьянович</cp:lastModifiedBy>
  <cp:revision>3</cp:revision>
  <dcterms:created xsi:type="dcterms:W3CDTF">2025-11-17T06:05:00Z</dcterms:created>
  <dcterms:modified xsi:type="dcterms:W3CDTF">2025-11-17T06:07:00Z</dcterms:modified>
</cp:coreProperties>
</file>